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6"/>
          <w:szCs w:val="36"/>
          <w:lang w:val="en-US" w:eastAsia="zh-CN"/>
        </w:rPr>
      </w:pPr>
      <w:bookmarkStart w:id="0" w:name="_GoBack"/>
      <w:r>
        <w:rPr>
          <w:rFonts w:hint="eastAsia" w:ascii="方正小标宋_GBK" w:hAnsi="方正小标宋_GBK" w:eastAsia="方正小标宋_GBK" w:cs="方正小标宋_GBK"/>
          <w:b w:val="0"/>
          <w:bCs w:val="0"/>
          <w:sz w:val="36"/>
          <w:szCs w:val="36"/>
          <w:lang w:val="en-US" w:eastAsia="zh-CN"/>
        </w:rPr>
        <w:t>2021年中国药科大学“丽珠创意基金”选题指南</w:t>
      </w:r>
    </w:p>
    <w:bookmarkEnd w:id="0"/>
    <w:p>
      <w:pPr>
        <w:jc w:val="center"/>
        <w:rPr>
          <w:rFonts w:hint="eastAsia"/>
          <w:b w:val="0"/>
          <w:bCs w:val="0"/>
          <w:sz w:val="36"/>
          <w:szCs w:val="36"/>
          <w:lang w:val="en-US" w:eastAsia="zh-CN"/>
        </w:rPr>
      </w:pPr>
    </w:p>
    <w:p>
      <w:pPr>
        <w:numPr>
          <w:ilvl w:val="0"/>
          <w:numId w:val="1"/>
        </w:numPr>
        <w:rPr>
          <w:rFonts w:hint="eastAsia"/>
          <w:b/>
          <w:bCs/>
          <w:sz w:val="24"/>
          <w:szCs w:val="24"/>
          <w:lang w:val="en-US" w:eastAsia="zh-CN"/>
        </w:rPr>
      </w:pPr>
      <w:r>
        <w:rPr>
          <w:rFonts w:hint="eastAsia"/>
          <w:b/>
          <w:bCs/>
          <w:sz w:val="24"/>
          <w:szCs w:val="24"/>
          <w:lang w:val="en-US" w:eastAsia="zh-CN"/>
        </w:rPr>
        <w:t>研发类：</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课题1：长效缓释脂质液晶注射剂的新型脂质材料探索</w:t>
      </w:r>
      <w:r>
        <w:rPr>
          <w:rFonts w:hint="eastAsia" w:asciiTheme="minorEastAsia" w:hAnsiTheme="minorEastAsia" w:cstheme="minorEastAsia"/>
          <w:sz w:val="24"/>
          <w:szCs w:val="24"/>
          <w:lang w:val="en-US" w:eastAsia="zh-CN"/>
        </w:rPr>
        <w:t>；</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课题2：适用于蛋白药物的长效缓释注射凝胶系统开发</w:t>
      </w:r>
      <w:r>
        <w:rPr>
          <w:rFonts w:hint="eastAsia" w:asciiTheme="minorEastAsia" w:hAnsiTheme="minorEastAsia" w:cstheme="minorEastAsia"/>
          <w:sz w:val="24"/>
          <w:szCs w:val="24"/>
          <w:lang w:val="en-US" w:eastAsia="zh-CN"/>
        </w:rPr>
        <w:t>；</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课题3：可用于缓释微球的新型生物可降解且具备生物相容性的材料探索</w:t>
      </w:r>
      <w:r>
        <w:rPr>
          <w:rFonts w:hint="eastAsia" w:asciiTheme="minorEastAsia" w:hAnsiTheme="minorEastAsia" w:cstheme="minorEastAsia"/>
          <w:sz w:val="24"/>
          <w:szCs w:val="24"/>
          <w:lang w:val="en-US" w:eastAsia="zh-CN"/>
        </w:rPr>
        <w:t>；</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课题4：</w:t>
      </w:r>
      <w:r>
        <w:rPr>
          <w:rFonts w:hint="eastAsia" w:asciiTheme="minorEastAsia" w:hAnsiTheme="minorEastAsia" w:eastAsiaTheme="minorEastAsia" w:cstheme="minorEastAsia"/>
          <w:sz w:val="24"/>
          <w:szCs w:val="24"/>
        </w:rPr>
        <w:t>新分子合成路线的设计需要关注哪些方面？谈谈研究生课题对未来商业化运用的可能性？</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课题5：</w:t>
      </w:r>
      <w:r>
        <w:rPr>
          <w:rFonts w:ascii="宋体" w:hAnsi="宋体" w:eastAsia="宋体" w:cs="宋体"/>
          <w:sz w:val="24"/>
          <w:szCs w:val="24"/>
        </w:rPr>
        <w:t>简述高效液相色谱仪常用的检测器种类及特点（至少3种），以及制剂有关物质方法学验证内容。</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课题6：</w:t>
      </w:r>
      <w:r>
        <w:rPr>
          <w:rFonts w:ascii="宋体" w:hAnsi="宋体" w:eastAsia="宋体" w:cs="宋体"/>
          <w:sz w:val="24"/>
          <w:szCs w:val="24"/>
        </w:rPr>
        <w:t>关于原料药稳定性考察，请简述考察的内容。</w:t>
      </w:r>
    </w:p>
    <w:p>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课题7：</w:t>
      </w:r>
      <w:r>
        <w:rPr>
          <w:rFonts w:ascii="宋体" w:hAnsi="宋体" w:eastAsia="宋体" w:cs="宋体"/>
          <w:sz w:val="24"/>
          <w:szCs w:val="24"/>
        </w:rPr>
        <w:t>某药物，制剂拟开发规格100mg和200mg，API遇水后会形成凝胶状物，有较强的粘性。请根据药物特点选择合适的开发工艺并简单论述在该药物制剂处方工艺开发过程中需要关注的问题。</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课题8：</w:t>
      </w:r>
      <w:r>
        <w:rPr>
          <w:rFonts w:ascii="宋体" w:hAnsi="宋体" w:eastAsia="宋体" w:cs="宋体"/>
          <w:sz w:val="24"/>
          <w:szCs w:val="24"/>
        </w:rPr>
        <w:t>肿瘤微环境调控的抗体药物研究进展；</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课题9：</w:t>
      </w:r>
      <w:r>
        <w:rPr>
          <w:rFonts w:ascii="宋体" w:hAnsi="宋体" w:eastAsia="宋体" w:cs="宋体"/>
          <w:sz w:val="24"/>
          <w:szCs w:val="24"/>
        </w:rPr>
        <w:t>双/多靶点抗体药物与抗体药物联用的优缺点比较；</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课题10：</w:t>
      </w:r>
      <w:r>
        <w:rPr>
          <w:rFonts w:ascii="宋体" w:hAnsi="宋体" w:eastAsia="宋体" w:cs="宋体"/>
          <w:sz w:val="24"/>
          <w:szCs w:val="24"/>
        </w:rPr>
        <w:t>PD1抗体联合用药或双抗在免疫治疗中的研究现状及前景</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课题11：</w:t>
      </w:r>
      <w:r>
        <w:rPr>
          <w:rFonts w:ascii="宋体" w:hAnsi="宋体" w:eastAsia="宋体" w:cs="宋体"/>
          <w:sz w:val="24"/>
          <w:szCs w:val="24"/>
        </w:rPr>
        <w:t>巨噬细胞在肿瘤免疫治疗中的研究进展</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课题12：</w:t>
      </w:r>
      <w:r>
        <w:rPr>
          <w:rFonts w:ascii="宋体" w:hAnsi="宋体" w:eastAsia="宋体" w:cs="宋体"/>
          <w:sz w:val="24"/>
          <w:szCs w:val="24"/>
        </w:rPr>
        <w:t>CAR-T细胞治疗在实体瘤中的应用现状、瓶颈及应对实体瘤微环境的技术策略</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课题13：</w:t>
      </w:r>
      <w:r>
        <w:rPr>
          <w:rFonts w:ascii="宋体" w:hAnsi="宋体" w:eastAsia="宋体" w:cs="宋体"/>
          <w:sz w:val="24"/>
          <w:szCs w:val="24"/>
        </w:rPr>
        <w:t>过继性细胞治疗的概念、分类及临床应用现状</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课题14：</w:t>
      </w:r>
      <w:r>
        <w:rPr>
          <w:rFonts w:ascii="宋体" w:hAnsi="宋体" w:eastAsia="宋体" w:cs="宋体"/>
          <w:sz w:val="24"/>
          <w:szCs w:val="24"/>
        </w:rPr>
        <w:t>CAR-T细胞治疗在血液瘤中的治疗进展及挑战</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课题15：</w:t>
      </w:r>
      <w:r>
        <w:rPr>
          <w:rFonts w:ascii="宋体" w:hAnsi="宋体" w:eastAsia="宋体" w:cs="宋体"/>
          <w:sz w:val="24"/>
          <w:szCs w:val="24"/>
        </w:rPr>
        <w:t>通用型免疫细胞治疗的研发、临床转化及前景</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课题16：</w:t>
      </w:r>
      <w:r>
        <w:rPr>
          <w:rFonts w:ascii="宋体" w:hAnsi="宋体" w:eastAsia="宋体" w:cs="宋体"/>
          <w:sz w:val="24"/>
          <w:szCs w:val="24"/>
        </w:rPr>
        <w:t>不同类型的新冠疫苗在新冠保护力的比较</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课题17：</w:t>
      </w:r>
      <w:r>
        <w:rPr>
          <w:rFonts w:ascii="宋体" w:hAnsi="宋体" w:eastAsia="宋体" w:cs="宋体"/>
          <w:sz w:val="24"/>
          <w:szCs w:val="24"/>
        </w:rPr>
        <w:t>新冠治疗型中和抗体的研究现状和应用前景</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课题18：</w:t>
      </w:r>
      <w:r>
        <w:rPr>
          <w:rFonts w:ascii="宋体" w:hAnsi="宋体" w:eastAsia="宋体" w:cs="宋体"/>
          <w:sz w:val="24"/>
          <w:szCs w:val="24"/>
        </w:rPr>
        <w:t>mRNA药物的现状、应用及展望</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课题19：</w:t>
      </w:r>
      <w:r>
        <w:rPr>
          <w:rFonts w:ascii="宋体" w:hAnsi="宋体" w:eastAsia="宋体" w:cs="宋体"/>
          <w:sz w:val="24"/>
          <w:szCs w:val="24"/>
        </w:rPr>
        <w:t>新型冠状病毒疫苗的制剂研究进展和发展方向</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课题20：</w:t>
      </w:r>
      <w:r>
        <w:rPr>
          <w:rFonts w:ascii="宋体" w:hAnsi="宋体" w:eastAsia="宋体" w:cs="宋体"/>
          <w:sz w:val="24"/>
          <w:szCs w:val="24"/>
        </w:rPr>
        <w:t>疫苗佐剂的分类、研究进展、临床使用及展望</w:t>
      </w:r>
      <w:r>
        <w:rPr>
          <w:rFonts w:hint="eastAsia" w:ascii="宋体" w:hAnsi="宋体" w:eastAsia="宋体" w:cs="宋体"/>
          <w:sz w:val="24"/>
          <w:szCs w:val="24"/>
          <w:lang w:eastAsia="zh-CN"/>
        </w:rPr>
        <w:t>；</w:t>
      </w:r>
    </w:p>
    <w:p>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课题21：</w:t>
      </w:r>
      <w:r>
        <w:rPr>
          <w:rFonts w:ascii="宋体" w:hAnsi="宋体" w:eastAsia="宋体" w:cs="宋体"/>
          <w:sz w:val="24"/>
          <w:szCs w:val="24"/>
        </w:rPr>
        <w:t>已上市ADC药物的制剂处方分析，以及ADC药物制剂研究进展</w:t>
      </w:r>
      <w:r>
        <w:rPr>
          <w:rFonts w:hint="eastAsia" w:ascii="宋体" w:hAnsi="宋体" w:eastAsia="宋体" w:cs="宋体"/>
          <w:sz w:val="24"/>
          <w:szCs w:val="24"/>
          <w:lang w:eastAsia="zh-CN"/>
        </w:rPr>
        <w:t>；</w:t>
      </w:r>
    </w:p>
    <w:p>
      <w:pPr>
        <w:numPr>
          <w:ilvl w:val="0"/>
          <w:numId w:val="0"/>
        </w:numPr>
        <w:rPr>
          <w:rFonts w:ascii="宋体" w:hAnsi="宋体" w:eastAsia="宋体" w:cs="宋体"/>
          <w:sz w:val="24"/>
          <w:szCs w:val="24"/>
        </w:rPr>
      </w:pP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生产类：</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课题1</w:t>
      </w:r>
      <w:r>
        <w:rPr>
          <w:rFonts w:hint="eastAsia" w:asciiTheme="minorEastAsia" w:hAnsiTheme="minorEastAsia" w:eastAsiaTheme="minorEastAsia" w:cstheme="minorEastAsia"/>
          <w:b w:val="0"/>
          <w:bCs w:val="0"/>
          <w:color w:val="000000"/>
          <w:sz w:val="24"/>
          <w:szCs w:val="24"/>
        </w:rPr>
        <w:t>：探讨粉体学性状判断指标，以及粉体性状对粉末分装装量稳定性关键影响因素分析</w:t>
      </w:r>
      <w:r>
        <w:rPr>
          <w:rFonts w:hint="eastAsia" w:asciiTheme="minorEastAsia" w:hAnsiTheme="minorEastAsia" w:cstheme="minorEastAsia"/>
          <w:b w:val="0"/>
          <w:bCs w:val="0"/>
          <w:color w:val="000000"/>
          <w:sz w:val="24"/>
          <w:szCs w:val="24"/>
          <w:lang w:eastAsia="zh-CN"/>
        </w:rPr>
        <w:t>；</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课题</w:t>
      </w:r>
      <w:r>
        <w:rPr>
          <w:rFonts w:hint="eastAsia" w:asciiTheme="minorEastAsia" w:hAnsi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rPr>
        <w:t>：不同类型胶塞穿刺落屑的研究及相应措施减少穿刺落屑对产品可见异物影响</w:t>
      </w:r>
      <w:r>
        <w:rPr>
          <w:rFonts w:hint="eastAsia" w:asciiTheme="minorEastAsia" w:hAnsiTheme="minorEastAsia" w:cstheme="minorEastAsia"/>
          <w:b w:val="0"/>
          <w:bCs w:val="0"/>
          <w:color w:val="000000"/>
          <w:sz w:val="24"/>
          <w:szCs w:val="24"/>
          <w:lang w:eastAsia="zh-CN"/>
        </w:rPr>
        <w:t>；</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课题</w:t>
      </w:r>
      <w:r>
        <w:rPr>
          <w:rFonts w:hint="eastAsia" w:asciiTheme="minorEastAsia" w:hAnsiTheme="minorEastAsia" w:cstheme="minorEastAsia"/>
          <w:b w:val="0"/>
          <w:bCs w:val="0"/>
          <w:color w:val="000000"/>
          <w:sz w:val="24"/>
          <w:szCs w:val="24"/>
          <w:lang w:val="en-US" w:eastAsia="zh-CN"/>
        </w:rPr>
        <w:t>3</w:t>
      </w:r>
      <w:r>
        <w:rPr>
          <w:rFonts w:hint="eastAsia" w:asciiTheme="minorEastAsia" w:hAnsiTheme="minorEastAsia" w:eastAsiaTheme="minorEastAsia" w:cstheme="minorEastAsia"/>
          <w:b w:val="0"/>
          <w:bCs w:val="0"/>
          <w:color w:val="000000"/>
          <w:sz w:val="24"/>
          <w:szCs w:val="24"/>
        </w:rPr>
        <w:t>：丁基橡胶塞残余硅油含量对无菌粉末产品澄清度影响研究</w:t>
      </w:r>
      <w:r>
        <w:rPr>
          <w:rFonts w:hint="eastAsia" w:asciiTheme="minorEastAsia" w:hAnsiTheme="minorEastAsia" w:cstheme="minorEastAsia"/>
          <w:b w:val="0"/>
          <w:bCs w:val="0"/>
          <w:color w:val="000000"/>
          <w:sz w:val="24"/>
          <w:szCs w:val="24"/>
          <w:lang w:eastAsia="zh-CN"/>
        </w:rPr>
        <w:t>；</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课题</w:t>
      </w:r>
      <w:r>
        <w:rPr>
          <w:rFonts w:hint="eastAsia" w:asciiTheme="minorEastAsia" w:hAnsiTheme="minorEastAsia" w:cstheme="minorEastAsia"/>
          <w:b w:val="0"/>
          <w:bCs w:val="0"/>
          <w:color w:val="000000"/>
          <w:sz w:val="24"/>
          <w:szCs w:val="24"/>
          <w:lang w:val="en-US" w:eastAsia="zh-CN"/>
        </w:rPr>
        <w:t>4</w:t>
      </w:r>
      <w:r>
        <w:rPr>
          <w:rFonts w:hint="eastAsia" w:asciiTheme="minorEastAsia" w:hAnsiTheme="minorEastAsia" w:eastAsiaTheme="minorEastAsia" w:cstheme="minorEastAsia"/>
          <w:b w:val="0"/>
          <w:bCs w:val="0"/>
          <w:color w:val="000000"/>
          <w:sz w:val="24"/>
          <w:szCs w:val="24"/>
        </w:rPr>
        <w:t>：MAH制度下，药品委托生产质量监管模式探讨</w:t>
      </w:r>
      <w:r>
        <w:rPr>
          <w:rFonts w:hint="eastAsia" w:asciiTheme="minorEastAsia" w:hAnsiTheme="minorEastAsia" w:cstheme="minorEastAsia"/>
          <w:b w:val="0"/>
          <w:bCs w:val="0"/>
          <w:color w:val="000000"/>
          <w:sz w:val="24"/>
          <w:szCs w:val="24"/>
          <w:lang w:eastAsia="zh-CN"/>
        </w:rPr>
        <w:t>；</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课题</w:t>
      </w:r>
      <w:r>
        <w:rPr>
          <w:rFonts w:hint="eastAsia" w:asciiTheme="minorEastAsia" w:hAnsiTheme="minorEastAsia" w:cstheme="minorEastAsia"/>
          <w:b w:val="0"/>
          <w:bCs w:val="0"/>
          <w:color w:val="000000"/>
          <w:sz w:val="24"/>
          <w:szCs w:val="24"/>
          <w:lang w:val="en-US" w:eastAsia="zh-CN"/>
        </w:rPr>
        <w:t>5</w:t>
      </w:r>
      <w:r>
        <w:rPr>
          <w:rFonts w:hint="eastAsia" w:asciiTheme="minorEastAsia" w:hAnsiTheme="minorEastAsia" w:eastAsiaTheme="minorEastAsia" w:cstheme="minorEastAsia"/>
          <w:b w:val="0"/>
          <w:bCs w:val="0"/>
          <w:color w:val="000000"/>
          <w:sz w:val="24"/>
          <w:szCs w:val="24"/>
        </w:rPr>
        <w:t>：药物中基因毒性杂质研究最新进展</w:t>
      </w:r>
      <w:r>
        <w:rPr>
          <w:rFonts w:hint="eastAsia" w:asciiTheme="minorEastAsia" w:hAnsiTheme="minorEastAsia" w:cstheme="minorEastAsia"/>
          <w:b w:val="0"/>
          <w:bCs w:val="0"/>
          <w:color w:val="000000"/>
          <w:sz w:val="24"/>
          <w:szCs w:val="24"/>
          <w:lang w:eastAsia="zh-CN"/>
        </w:rPr>
        <w:t>；</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课题</w:t>
      </w:r>
      <w:r>
        <w:rPr>
          <w:rFonts w:hint="eastAsia" w:asciiTheme="minorEastAsia" w:hAnsiTheme="minorEastAsia" w:cstheme="minorEastAsia"/>
          <w:b w:val="0"/>
          <w:bCs w:val="0"/>
          <w:color w:val="000000"/>
          <w:sz w:val="24"/>
          <w:szCs w:val="24"/>
          <w:lang w:val="en-US" w:eastAsia="zh-CN"/>
        </w:rPr>
        <w:t>6</w:t>
      </w:r>
      <w:r>
        <w:rPr>
          <w:rFonts w:hint="eastAsia" w:asciiTheme="minorEastAsia" w:hAnsiTheme="minorEastAsia" w:eastAsiaTheme="minorEastAsia" w:cstheme="minorEastAsia"/>
          <w:b w:val="0"/>
          <w:bCs w:val="0"/>
          <w:color w:val="000000"/>
          <w:sz w:val="24"/>
          <w:szCs w:val="24"/>
        </w:rPr>
        <w:t>：流通池、往复筒等新型体外溶出评价方法在体内外相关性研究中的应用</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课题</w:t>
      </w:r>
      <w:r>
        <w:rPr>
          <w:rFonts w:hint="eastAsia" w:asciiTheme="minorEastAsia" w:hAnsiTheme="minorEastAsia" w:cstheme="minorEastAsia"/>
          <w:b w:val="0"/>
          <w:bCs w:val="0"/>
          <w:color w:val="000000"/>
          <w:sz w:val="24"/>
          <w:szCs w:val="24"/>
          <w:lang w:val="en-US" w:eastAsia="zh-CN"/>
        </w:rPr>
        <w:t>7</w:t>
      </w:r>
      <w:r>
        <w:rPr>
          <w:rFonts w:hint="eastAsia" w:asciiTheme="minorEastAsia" w:hAnsiTheme="minorEastAsia" w:eastAsiaTheme="minorEastAsia" w:cstheme="minorEastAsia"/>
          <w:b w:val="0"/>
          <w:bCs w:val="0"/>
          <w:color w:val="000000"/>
          <w:sz w:val="24"/>
          <w:szCs w:val="24"/>
        </w:rPr>
        <w:t>：胶塞硅化度准确有效的检测方法研究及建立</w:t>
      </w:r>
      <w:r>
        <w:rPr>
          <w:rFonts w:hint="eastAsia" w:asciiTheme="minorEastAsia" w:hAnsiTheme="minorEastAsia" w:cstheme="minorEastAsia"/>
          <w:b w:val="0"/>
          <w:bCs w:val="0"/>
          <w:color w:val="000000"/>
          <w:sz w:val="24"/>
          <w:szCs w:val="24"/>
          <w:lang w:eastAsia="zh-CN"/>
        </w:rPr>
        <w:t>；</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课题</w:t>
      </w:r>
      <w:r>
        <w:rPr>
          <w:rFonts w:hint="eastAsia" w:asciiTheme="minorEastAsia" w:hAnsiTheme="minorEastAsia" w:cstheme="minorEastAsia"/>
          <w:b w:val="0"/>
          <w:bCs w:val="0"/>
          <w:color w:val="000000"/>
          <w:sz w:val="24"/>
          <w:szCs w:val="24"/>
          <w:lang w:val="en-US" w:eastAsia="zh-CN"/>
        </w:rPr>
        <w:t>8</w:t>
      </w:r>
      <w:r>
        <w:rPr>
          <w:rFonts w:hint="eastAsia" w:asciiTheme="minorEastAsia" w:hAnsiTheme="minorEastAsia" w:eastAsiaTheme="minorEastAsia" w:cstheme="minorEastAsia"/>
          <w:b w:val="0"/>
          <w:bCs w:val="0"/>
          <w:color w:val="000000"/>
          <w:sz w:val="24"/>
          <w:szCs w:val="24"/>
        </w:rPr>
        <w:t>：常用辅料种类和用量对颗粒可压性影响的研究，并阐述如何评价颗粒可压性</w:t>
      </w:r>
      <w:r>
        <w:rPr>
          <w:rFonts w:hint="eastAsia" w:asciiTheme="minorEastAsia" w:hAnsiTheme="minorEastAsia" w:cstheme="minorEastAsia"/>
          <w:b w:val="0"/>
          <w:bCs w:val="0"/>
          <w:color w:val="000000"/>
          <w:sz w:val="24"/>
          <w:szCs w:val="24"/>
          <w:lang w:eastAsia="zh-CN"/>
        </w:rPr>
        <w:t>；</w:t>
      </w:r>
    </w:p>
    <w:p>
      <w:pPr>
        <w:numPr>
          <w:ilvl w:val="0"/>
          <w:numId w:val="0"/>
        </w:numPr>
        <w:rPr>
          <w:rFonts w:hint="eastAsia" w:asciiTheme="minorEastAsia" w:hAnsiTheme="minorEastAsia" w:eastAsiaTheme="minorEastAsia" w:cstheme="minorEastAsia"/>
          <w:b w:val="0"/>
          <w:bCs w:val="0"/>
          <w:color w:val="000000"/>
          <w:sz w:val="24"/>
          <w:szCs w:val="24"/>
        </w:rPr>
      </w:pPr>
    </w:p>
    <w:p>
      <w:pPr>
        <w:numPr>
          <w:ilvl w:val="0"/>
          <w:numId w:val="0"/>
        </w:numPr>
        <w:rPr>
          <w:rFonts w:hint="eastAsia" w:asciiTheme="minorEastAsia" w:hAnsiTheme="minorEastAsia" w:cstheme="minorEastAsia"/>
          <w:b/>
          <w:bCs/>
          <w:color w:val="000000"/>
          <w:sz w:val="24"/>
          <w:szCs w:val="24"/>
          <w:lang w:val="en-US" w:eastAsia="zh-CN"/>
        </w:rPr>
      </w:pPr>
    </w:p>
    <w:p>
      <w:pPr>
        <w:numPr>
          <w:ilvl w:val="0"/>
          <w:numId w:val="1"/>
        </w:numPr>
        <w:rPr>
          <w:rFonts w:hint="eastAsia" w:asciiTheme="minorEastAsia" w:hAnsiTheme="minorEastAsia" w:cstheme="minorEastAsia"/>
          <w:b/>
          <w:bCs/>
          <w:color w:val="000000"/>
          <w:sz w:val="24"/>
          <w:szCs w:val="24"/>
          <w:lang w:val="en-US" w:eastAsia="zh-CN"/>
        </w:rPr>
      </w:pPr>
      <w:r>
        <w:rPr>
          <w:rFonts w:hint="eastAsia" w:asciiTheme="minorEastAsia" w:hAnsiTheme="minorEastAsia" w:cstheme="minorEastAsia"/>
          <w:b/>
          <w:bCs/>
          <w:color w:val="000000"/>
          <w:sz w:val="24"/>
          <w:szCs w:val="24"/>
          <w:lang w:val="en-US" w:eastAsia="zh-CN"/>
        </w:rPr>
        <w:t>临床类：</w:t>
      </w:r>
    </w:p>
    <w:p>
      <w:pPr>
        <w:numPr>
          <w:ilvl w:val="0"/>
          <w:numId w:val="0"/>
        </w:numPr>
        <w:rPr>
          <w:rFonts w:ascii="宋体" w:hAnsi="宋体" w:eastAsia="宋体" w:cs="宋体"/>
          <w:sz w:val="24"/>
          <w:szCs w:val="24"/>
        </w:rPr>
      </w:pPr>
      <w:r>
        <w:rPr>
          <w:rFonts w:hint="eastAsia" w:asciiTheme="minorEastAsia" w:hAnsiTheme="minorEastAsia" w:cstheme="minorEastAsia"/>
          <w:b w:val="0"/>
          <w:bCs w:val="0"/>
          <w:color w:val="000000"/>
          <w:sz w:val="24"/>
          <w:szCs w:val="24"/>
          <w:lang w:val="en-US" w:eastAsia="zh-CN"/>
        </w:rPr>
        <w:t>课题1：</w:t>
      </w:r>
      <w:r>
        <w:rPr>
          <w:rFonts w:ascii="宋体" w:hAnsi="宋体" w:eastAsia="宋体" w:cs="宋体"/>
          <w:sz w:val="24"/>
          <w:szCs w:val="24"/>
        </w:rPr>
        <w:t>注射制剂成人剂量外推到儿童的建模与临床试验设计；</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w:t>
      </w: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铋制剂的药理作用及抗病毒感染应用研究</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课题3</w:t>
      </w:r>
      <w:r>
        <w:rPr>
          <w:rFonts w:hint="eastAsia" w:ascii="宋体" w:hAnsi="宋体" w:eastAsia="宋体" w:cs="宋体"/>
          <w:sz w:val="24"/>
          <w:szCs w:val="24"/>
          <w:lang w:eastAsia="zh-CN"/>
        </w:rPr>
        <w:t>：</w:t>
      </w:r>
      <w:r>
        <w:rPr>
          <w:rFonts w:ascii="宋体" w:hAnsi="宋体" w:eastAsia="宋体" w:cs="宋体"/>
          <w:sz w:val="24"/>
          <w:szCs w:val="24"/>
        </w:rPr>
        <w:t>试论SSU阶段对临床试验项目运营的作用和影响</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课题4</w:t>
      </w:r>
      <w:r>
        <w:rPr>
          <w:rFonts w:hint="eastAsia" w:ascii="宋体" w:hAnsi="宋体" w:eastAsia="宋体" w:cs="宋体"/>
          <w:sz w:val="24"/>
          <w:szCs w:val="24"/>
          <w:lang w:eastAsia="zh-CN"/>
        </w:rPr>
        <w:t>：</w:t>
      </w:r>
      <w:r>
        <w:rPr>
          <w:rFonts w:ascii="宋体" w:hAnsi="宋体" w:eastAsia="宋体" w:cs="宋体"/>
          <w:sz w:val="24"/>
          <w:szCs w:val="24"/>
        </w:rPr>
        <w:t>浅谈临床试验方案的科学性和完整性对临床试验项目的作用和影响；</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课题5</w:t>
      </w:r>
      <w:r>
        <w:rPr>
          <w:rFonts w:hint="eastAsia" w:ascii="宋体" w:hAnsi="宋体" w:eastAsia="宋体" w:cs="宋体"/>
          <w:sz w:val="24"/>
          <w:szCs w:val="24"/>
          <w:lang w:eastAsia="zh-CN"/>
        </w:rPr>
        <w:t>：</w:t>
      </w:r>
      <w:r>
        <w:rPr>
          <w:rFonts w:ascii="宋体" w:hAnsi="宋体" w:eastAsia="宋体" w:cs="宋体"/>
          <w:sz w:val="24"/>
          <w:szCs w:val="24"/>
        </w:rPr>
        <w:t>遗传办申报工作的现状及一次通过的关键点；</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课题6</w:t>
      </w:r>
      <w:r>
        <w:rPr>
          <w:rFonts w:hint="eastAsia" w:ascii="宋体" w:hAnsi="宋体" w:eastAsia="宋体" w:cs="宋体"/>
          <w:sz w:val="24"/>
          <w:szCs w:val="24"/>
          <w:lang w:eastAsia="zh-CN"/>
        </w:rPr>
        <w:t>：</w:t>
      </w:r>
      <w:r>
        <w:rPr>
          <w:rFonts w:ascii="宋体" w:hAnsi="宋体" w:eastAsia="宋体" w:cs="宋体"/>
          <w:sz w:val="24"/>
          <w:szCs w:val="24"/>
        </w:rPr>
        <w:t>如何达成全国多中心项目快速入组的思考；</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课题7</w:t>
      </w:r>
      <w:r>
        <w:rPr>
          <w:rFonts w:hint="eastAsia" w:ascii="宋体" w:hAnsi="宋体" w:eastAsia="宋体" w:cs="宋体"/>
          <w:sz w:val="24"/>
          <w:szCs w:val="24"/>
          <w:lang w:eastAsia="zh-CN"/>
        </w:rPr>
        <w:t>：</w:t>
      </w:r>
      <w:r>
        <w:rPr>
          <w:rFonts w:ascii="宋体" w:hAnsi="宋体" w:eastAsia="宋体" w:cs="宋体"/>
          <w:sz w:val="24"/>
          <w:szCs w:val="24"/>
        </w:rPr>
        <w:t>全国多中心项目质量管理的重要性及方法探索；</w:t>
      </w:r>
    </w:p>
    <w:p>
      <w:pPr>
        <w:numPr>
          <w:ilvl w:val="0"/>
          <w:numId w:val="0"/>
        </w:numPr>
        <w:rPr>
          <w:rFonts w:hint="eastAsia" w:ascii="宋体" w:hAnsi="宋体" w:eastAsia="宋体" w:cs="宋体"/>
          <w:b/>
          <w:bCs/>
          <w:sz w:val="24"/>
          <w:szCs w:val="24"/>
          <w:lang w:eastAsia="zh-CN"/>
        </w:rPr>
      </w:pP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营销类：</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课题1：在国家鼓励一致性评价药物进行原研药替代的大背景下，企业如何做好同质化产品进行集中采购的市场准入准备？</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课题2：如何运用新的媒介及营销方法拓展新的销售市场？</w:t>
      </w:r>
    </w:p>
    <w:p>
      <w:pPr>
        <w:numPr>
          <w:ilvl w:val="0"/>
          <w:numId w:val="0"/>
        </w:numPr>
        <w:rPr>
          <w:rFonts w:hint="eastAsia" w:asciiTheme="minorEastAsia" w:hAnsiTheme="minorEastAsia" w:cstheme="minorEastAsia"/>
          <w:b w:val="0"/>
          <w:bCs w:val="0"/>
          <w:color w:val="000000"/>
          <w:sz w:val="24"/>
          <w:szCs w:val="24"/>
          <w:lang w:val="en-US" w:eastAsia="zh-CN"/>
        </w:rPr>
      </w:pPr>
      <w:r>
        <w:rPr>
          <w:rFonts w:hint="eastAsia" w:ascii="宋体" w:hAnsi="宋体" w:eastAsia="宋体" w:cs="宋体"/>
          <w:sz w:val="24"/>
          <w:szCs w:val="24"/>
          <w:lang w:val="en-US" w:eastAsia="zh-CN"/>
        </w:rPr>
        <w:t>课题3：在医学证据要求越来越高标准的背景下，以仿制药生产为主的企业如何做好医学及药物经济学的体系构建？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FB9BC"/>
    <w:multiLevelType w:val="singleLevel"/>
    <w:tmpl w:val="615FB9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91712"/>
    <w:rsid w:val="06B7026C"/>
    <w:rsid w:val="156443C0"/>
    <w:rsid w:val="28CD6968"/>
    <w:rsid w:val="31BA087F"/>
    <w:rsid w:val="42491712"/>
    <w:rsid w:val="46B218BB"/>
    <w:rsid w:val="54313C7B"/>
    <w:rsid w:val="61AA4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2021-10-08T03:21:00Z</dcterms:created>
  <dc:creator>ouyujun</dc:creator>
  <cp:lastModifiedBy>zmt甜小梦</cp:lastModifiedBy>
  <dcterms:modified xsi:type="dcterms:W3CDTF">2021-10-14T06:51:22Z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7EFC6C5D734F4094BEFA4FEECDE11925</vt:lpwstr>
  </property>
</Properties>
</file>